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numPr>
          <w:ilvl w:val="1"/>
          <w:numId w:val="8"/>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t>
      </w:r>
      <w:bookmarkStart w:colFirst="0" w:colLast="0" w:name="bookmark=id.gjdgxs" w:id="0"/>
      <w:bookmarkEnd w:id="0"/>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numPr>
          <w:ilvl w:val="1"/>
          <w:numId w:val="8"/>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numPr>
          <w:ilvl w:val="1"/>
          <w:numId w:val="8"/>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6">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7">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8">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A">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B">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D">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F">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0">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2">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3">
      <w:pPr>
        <w:numPr>
          <w:ilvl w:val="3"/>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numPr>
          <w:ilvl w:val="3"/>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5">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6">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7">
      <w:pPr>
        <w:numPr>
          <w:ilvl w:val="1"/>
          <w:numId w:val="8"/>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70"/>
        <w:gridCol w:w="8010"/>
        <w:tblGridChange w:id="0">
          <w:tblGrid>
            <w:gridCol w:w="2070"/>
            <w:gridCol w:w="8010"/>
          </w:tblGrid>
        </w:tblGridChange>
      </w:tblGrid>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bookmarkStart w:colFirst="0" w:colLast="0" w:name="_heading=h.3znysh7" w:id="3"/>
            <w:bookmarkEnd w:id="3"/>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“Associates”</w:t>
            </w: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B">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C">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D">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2E">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2F">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30">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31">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2">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3">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4">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5">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7">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501" w:hanging="33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8">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39">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A">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B">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3C">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"Business Continuity Plan"</w:t>
            </w:r>
            <w:r w:rsidDel="00000000" w:rsidR="00000000" w:rsidRPr="00000000">
              <w:rPr>
                <w:rtl w:val="0"/>
              </w:rPr>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given to it in Paragraph 1.3.2 of Call-Off Schedule 8;</w:t>
            </w:r>
            <w:r w:rsidDel="00000000" w:rsidR="00000000" w:rsidRPr="00000000">
              <w:rPr>
                <w:rtl w:val="0"/>
              </w:rPr>
            </w:r>
          </w:p>
        </w:tc>
      </w:tr>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67">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69">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6A">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6B">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6C">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7D">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92">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93">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94">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95">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96">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97">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98">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99">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9A">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9B">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9C">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9D">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9E">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left" w:leader="none" w:pos="-179"/>
                <w:tab w:val="left" w:leader="none" w:pos="411"/>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A0">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A1">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A2">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A3">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A4">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A5">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A6">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“Dependent Parent Undertaking”</w:t>
            </w:r>
            <w:r w:rsidDel="00000000" w:rsidR="00000000" w:rsidRPr="00000000">
              <w:rPr>
                <w:rtl w:val="0"/>
              </w:rPr>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C5">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B">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CC">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CD">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leader="none" w:pos="-576"/>
                <w:tab w:val="left" w:leader="none" w:pos="144"/>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DE">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DF">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“Equipment”</w:t>
            </w:r>
          </w:p>
        </w:tc>
        <w:tc>
          <w:tcPr/>
          <w:p w:rsidR="00000000" w:rsidDel="00000000" w:rsidP="00000000" w:rsidRDefault="00000000" w:rsidRPr="00000000" w14:paraId="000000E5">
            <w:pP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any equipment used for the provision of the Deliverables;</w:t>
            </w:r>
            <w:r w:rsidDel="00000000" w:rsidR="00000000" w:rsidRPr="00000000">
              <w:rPr>
                <w:rtl w:val="0"/>
              </w:rPr>
            </w:r>
          </w:p>
        </w:tc>
      </w:tr>
      <w:tr>
        <w:trPr>
          <w:cantSplit w:val="0"/>
          <w:tblHeader w:val="0"/>
        </w:trPr>
        <w:tc>
          <w:tcPr/>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E9">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bl>
      <w:tblPr>
        <w:tblStyle w:val="Table2"/>
        <w:tblW w:w="97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350"/>
        <w:tblGridChange w:id="0">
          <w:tblGrid>
            <w:gridCol w:w="2400"/>
            <w:gridCol w:w="7350"/>
          </w:tblGrid>
        </w:tblGridChange>
      </w:tblGrid>
      <w:tr>
        <w:trPr>
          <w:cantSplit w:val="0"/>
          <w:tblHeader w:val="0"/>
        </w:trP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left" w:leader="none" w:pos="-17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iii) after the end of the Call-off Contract, the Charges paid or payable in the last Contract Year during the Call-off Contract Period;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Buyer</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public sector purchaser that is:</w:t>
            </w:r>
          </w:p>
          <w:p w:rsidR="00000000" w:rsidDel="00000000" w:rsidP="00000000" w:rsidRDefault="00000000" w:rsidRPr="00000000" w14:paraId="000000F1">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388" w:hanging="360"/>
              <w:jc w:val="both"/>
              <w:rPr/>
            </w:pPr>
            <w:r w:rsidDel="00000000" w:rsidR="00000000" w:rsidRPr="00000000">
              <w:rPr>
                <w:rFonts w:ascii="Arial" w:cs="Arial" w:eastAsia="Arial" w:hAnsi="Arial"/>
                <w:color w:val="000000"/>
                <w:sz w:val="22"/>
                <w:szCs w:val="22"/>
                <w:rtl w:val="0"/>
              </w:rPr>
              <w:t xml:space="preserve">eligible to use the Framework Contract; and</w:t>
            </w:r>
            <w:r w:rsidDel="00000000" w:rsidR="00000000" w:rsidRPr="00000000">
              <w:rPr>
                <w:rtl w:val="0"/>
              </w:rPr>
            </w:r>
          </w:p>
          <w:p w:rsidR="00000000" w:rsidDel="00000000" w:rsidP="00000000" w:rsidRDefault="00000000" w:rsidRPr="00000000" w14:paraId="000000F2">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388" w:hanging="360"/>
              <w:jc w:val="both"/>
              <w:rPr/>
            </w:pPr>
            <w:r w:rsidDel="00000000" w:rsidR="00000000" w:rsidRPr="00000000">
              <w:rPr>
                <w:rFonts w:ascii="Arial" w:cs="Arial" w:eastAsia="Arial" w:hAnsi="Arial"/>
                <w:color w:val="000000"/>
                <w:sz w:val="22"/>
                <w:szCs w:val="22"/>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0F3">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Regulations;</w:t>
            </w:r>
            <w:r w:rsidDel="00000000" w:rsidR="00000000" w:rsidRPr="00000000">
              <w:rPr>
                <w:rtl w:val="0"/>
              </w:rPr>
            </w:r>
          </w:p>
          <w:p w:rsidR="00000000" w:rsidDel="00000000" w:rsidP="00000000" w:rsidRDefault="00000000" w:rsidRPr="00000000" w14:paraId="000000F4">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Concession Contracts Regulations 2016 (SI 2016/273);</w:t>
            </w:r>
            <w:r w:rsidDel="00000000" w:rsidR="00000000" w:rsidRPr="00000000">
              <w:rPr>
                <w:rtl w:val="0"/>
              </w:rPr>
            </w:r>
          </w:p>
          <w:p w:rsidR="00000000" w:rsidDel="00000000" w:rsidP="00000000" w:rsidRDefault="00000000" w:rsidRPr="00000000" w14:paraId="000000F5">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Utilities Contracts Regulations 2016 (SI 2016/274);</w:t>
            </w:r>
            <w:r w:rsidDel="00000000" w:rsidR="00000000" w:rsidRPr="00000000">
              <w:rPr>
                <w:rtl w:val="0"/>
              </w:rPr>
            </w:r>
          </w:p>
          <w:p w:rsidR="00000000" w:rsidDel="00000000" w:rsidP="00000000" w:rsidRDefault="00000000" w:rsidRPr="00000000" w14:paraId="000000F6">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0F7">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Remedies Directive (2007/66/EC);</w:t>
            </w:r>
            <w:r w:rsidDel="00000000" w:rsidR="00000000" w:rsidRPr="00000000">
              <w:rPr>
                <w:rtl w:val="0"/>
              </w:rPr>
            </w:r>
          </w:p>
          <w:p w:rsidR="00000000" w:rsidDel="00000000" w:rsidP="00000000" w:rsidRDefault="00000000" w:rsidRPr="00000000" w14:paraId="000000F8">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0F9">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0FA">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0FB">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2"/>
                <w:szCs w:val="22"/>
                <w:rtl w:val="0"/>
              </w:rPr>
              <w:t xml:space="preserve">Directive 2009/81/EC of the European Parliament and Council;</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Call-off Contract</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Procurement Amendments</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100">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rPr>
      </w:pPr>
      <w:r w:rsidDel="00000000" w:rsidR="00000000" w:rsidRPr="00000000">
        <w:rPr>
          <w:rtl w:val="0"/>
        </w:rPr>
      </w:r>
    </w:p>
    <w:tbl>
      <w:tblPr>
        <w:tblStyle w:val="Table3"/>
        <w:tblW w:w="99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45"/>
        <w:gridCol w:w="7515"/>
        <w:tblGridChange w:id="0">
          <w:tblGrid>
            <w:gridCol w:w="2445"/>
            <w:gridCol w:w="7515"/>
          </w:tblGrid>
        </w:tblGridChange>
      </w:tblGrid>
      <w:tr>
        <w:trPr>
          <w:cantSplit w:val="0"/>
          <w:tblHeader w:val="0"/>
        </w:trPr>
        <w:tc>
          <w:tcPr/>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0D">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0E">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0F">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10">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20">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2D">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and </w:t>
            </w:r>
          </w:p>
          <w:p w:rsidR="00000000" w:rsidDel="00000000" w:rsidP="00000000" w:rsidRDefault="00000000" w:rsidRPr="00000000" w14:paraId="0000012E">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rPr>
          <w:cantSplit w:val="0"/>
          <w:tblHeader w:val="0"/>
        </w:trPr>
        <w:tc>
          <w:tcPr/>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left" w:leader="none" w:pos="-576"/>
                <w:tab w:val="left" w:leader="none"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39">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3A">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p w:rsidR="00000000" w:rsidDel="00000000" w:rsidP="00000000" w:rsidRDefault="00000000" w:rsidRPr="00000000" w14:paraId="0000013B">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His Majesty’s Revenue and Customs;</w:t>
            </w:r>
          </w:p>
        </w:tc>
      </w:tr>
      <w:tr>
        <w:trPr>
          <w:cantSplit w:val="0"/>
          <w:tblHeader w:val="0"/>
        </w:trPr>
        <w:tc>
          <w:tcPr/>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45">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46">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47">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48">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49">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67">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6A">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6B">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6C">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7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7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7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7D">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7E">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7F">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81">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8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8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8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right="18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8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8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8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8E">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8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90">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91">
            <w:pPr>
              <w:numPr>
                <w:ilvl w:val="1"/>
                <w:numId w:val="7"/>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92">
            <w:pPr>
              <w:numPr>
                <w:ilvl w:val="1"/>
                <w:numId w:val="7"/>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hanging="54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93">
            <w:pPr>
              <w:numPr>
                <w:ilvl w:val="1"/>
                <w:numId w:val="7"/>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hanging="54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9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9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9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9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9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9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9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9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A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A1">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A2">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A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A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A6">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A7">
            <w:pPr>
              <w:numPr>
                <w:ilvl w:val="2"/>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A8">
            <w:pPr>
              <w:numPr>
                <w:ilvl w:val="2"/>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A9">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A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A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AC">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AD">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AE">
            <w:pPr>
              <w:numPr>
                <w:ilvl w:val="2"/>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AF">
            <w:pPr>
              <w:numPr>
                <w:ilvl w:val="2"/>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B0">
            <w:pPr>
              <w:numPr>
                <w:ilvl w:val="2"/>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B1">
            <w:pPr>
              <w:numPr>
                <w:ilvl w:val="2"/>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B2">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B3">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B4">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p>
          <w:p w:rsidR="00000000" w:rsidDel="00000000" w:rsidP="00000000" w:rsidRDefault="00000000" w:rsidRPr="00000000" w14:paraId="000001B5">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B6">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B7">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B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B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B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B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B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B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rPr>
          <w:cantSplit w:val="0"/>
          <w:tblHeader w:val="0"/>
        </w:trPr>
        <w:tc>
          <w:tcPr/>
          <w:p w:rsidR="00000000" w:rsidDel="00000000" w:rsidP="00000000" w:rsidRDefault="00000000" w:rsidRPr="00000000" w14:paraId="000001B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B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1C0">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C2">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“Parent Undertaking”</w:t>
            </w:r>
            <w:r w:rsidDel="00000000" w:rsidR="00000000" w:rsidRPr="00000000">
              <w:rPr>
                <w:rtl w:val="0"/>
              </w:rPr>
            </w:r>
          </w:p>
        </w:tc>
        <w:tc>
          <w:tcPr/>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1C4">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C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C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C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C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C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C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C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C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C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that results, or may result, in unauthorised access to Personal Data held under this Contract, and/or actual or potential loss and/or destruction of Personal Data in breach of this Contract, including any Personal Data Breach as defined by UK GDPR;</w:t>
            </w:r>
          </w:p>
        </w:tc>
      </w:tr>
      <w:tr>
        <w:trPr>
          <w:cantSplit w:val="0"/>
          <w:tblHeader w:val="0"/>
        </w:trPr>
        <w:tc>
          <w:tcPr/>
          <w:p w:rsidR="00000000" w:rsidDel="00000000" w:rsidP="00000000" w:rsidRDefault="00000000" w:rsidRPr="00000000" w14:paraId="000001C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D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D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D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D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D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D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D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D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D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D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D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D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D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DF">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E0">
            <w:pPr>
              <w:numPr>
                <w:ilvl w:val="2"/>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E1">
            <w:pPr>
              <w:numPr>
                <w:ilvl w:val="2"/>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1E2">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E3">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1E4">
            <w:pPr>
              <w:numPr>
                <w:ilvl w:val="2"/>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E5">
            <w:pPr>
              <w:numPr>
                <w:ilvl w:val="2"/>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1E6">
            <w:pPr>
              <w:numPr>
                <w:ilvl w:val="2"/>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1E7">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1E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1E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p w:rsidR="00000000" w:rsidDel="00000000" w:rsidP="00000000" w:rsidRDefault="00000000" w:rsidRPr="00000000" w14:paraId="000001E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1E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1E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1E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1E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1E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F0">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1F1">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1F2">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1F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1F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1F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1F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1F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1F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1F9">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1FA">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1F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1F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1F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1FE">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1FF">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0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20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20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03">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0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06">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0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08">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20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0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0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0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0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1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1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1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1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1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Call-Off Contract (which, where Call-Off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1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21">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27">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28">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2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2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2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2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2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2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3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3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3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33">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34">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35">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36">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3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3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3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3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3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3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3D">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3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3F">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40">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41">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4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4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4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4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“Subsidiary Undertaking”</w:t>
            </w:r>
            <w:r w:rsidDel="00000000" w:rsidR="00000000" w:rsidRPr="00000000">
              <w:rPr>
                <w:rtl w:val="0"/>
              </w:rPr>
            </w:r>
          </w:p>
        </w:tc>
        <w:tc>
          <w:tcPr/>
          <w:p w:rsidR="00000000" w:rsidDel="00000000" w:rsidP="00000000" w:rsidRDefault="00000000" w:rsidRPr="00000000" w14:paraId="0000024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24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Group”</w:t>
            </w:r>
            <w:r w:rsidDel="00000000" w:rsidR="00000000" w:rsidRPr="00000000">
              <w:rPr>
                <w:rtl w:val="0"/>
              </w:rPr>
            </w:r>
          </w:p>
        </w:tc>
        <w:tc>
          <w:tcPr/>
          <w:p w:rsidR="00000000" w:rsidDel="00000000" w:rsidP="00000000" w:rsidRDefault="00000000" w:rsidRPr="00000000" w14:paraId="0000024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Supplier, its Dependent Parent Undertakings and all Subsidiary Undertakings and Associates of such Dependent Parent Undertakings; and</w:t>
            </w:r>
            <w:r w:rsidDel="00000000" w:rsidR="00000000" w:rsidRPr="00000000">
              <w:rPr>
                <w:rtl w:val="0"/>
              </w:rPr>
            </w:r>
          </w:p>
        </w:tc>
      </w:tr>
      <w:tr>
        <w:trPr>
          <w:cantSplit w:val="0"/>
          <w:tblHeader w:val="0"/>
        </w:trPr>
        <w:tc>
          <w:tcPr/>
          <w:p w:rsidR="00000000" w:rsidDel="00000000" w:rsidP="00000000" w:rsidRDefault="00000000" w:rsidRPr="00000000" w14:paraId="0000024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4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4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4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4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5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51">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52">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53">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54">
            <w:pPr>
              <w:pBdr>
                <w:top w:space="0" w:sz="0" w:val="nil"/>
                <w:left w:space="0" w:sz="0" w:val="nil"/>
                <w:bottom w:space="0" w:sz="0" w:val="nil"/>
                <w:right w:space="0" w:sz="0" w:val="nil"/>
                <w:between w:space="0" w:sz="0" w:val="nil"/>
              </w:pBdr>
              <w:tabs>
                <w:tab w:val="left" w:leader="none" w:pos="1134"/>
              </w:tabs>
              <w:spacing w:after="120" w:before="120" w:lineRule="auto"/>
              <w:ind w:left="928"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55">
            <w:pPr>
              <w:pBdr>
                <w:top w:space="0" w:sz="0" w:val="nil"/>
                <w:left w:space="0" w:sz="0" w:val="nil"/>
                <w:bottom w:space="0" w:sz="0" w:val="nil"/>
                <w:right w:space="0" w:sz="0" w:val="nil"/>
                <w:between w:space="0" w:sz="0" w:val="nil"/>
              </w:pBdr>
              <w:tabs>
                <w:tab w:val="left" w:leader="none" w:pos="1134"/>
              </w:tabs>
              <w:spacing w:after="120" w:before="120" w:lineRule="auto"/>
              <w:ind w:left="928" w:hanging="36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5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5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5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5C">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5D">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5E">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25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6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6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6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6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68">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69">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6A">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6B">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6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6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6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7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73">
            <w:pPr>
              <w:numPr>
                <w:ilvl w:val="1"/>
                <w:numId w:val="11"/>
              </w:numPr>
              <w:pBdr>
                <w:top w:space="0" w:sz="0" w:val="nil"/>
                <w:left w:space="0" w:sz="0" w:val="nil"/>
                <w:bottom w:space="0" w:sz="0" w:val="nil"/>
                <w:right w:space="0" w:sz="0" w:val="nil"/>
                <w:between w:space="0" w:sz="0" w:val="nil"/>
              </w:pBdr>
              <w:tabs>
                <w:tab w:val="left" w:leader="none" w:pos="-576"/>
                <w:tab w:val="left" w:leader="none" w:pos="141"/>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74">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7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7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7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7B">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7C">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7D">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7E">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7F">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8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8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28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8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8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8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8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8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8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8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8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8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9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9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9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9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94">
      <w:pPr>
        <w:spacing w:after="0" w:line="240" w:lineRule="auto"/>
        <w:rPr>
          <w:rFonts w:ascii="Arial" w:cs="Arial" w:eastAsia="Arial" w:hAnsi="Arial"/>
          <w:sz w:val="24"/>
          <w:szCs w:val="24"/>
        </w:rPr>
      </w:pPr>
      <w:bookmarkStart w:colFirst="0" w:colLast="0" w:name="_heading=h.gjdgxs" w:id="4"/>
      <w:bookmarkEnd w:id="4"/>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9">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9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B">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RM6305 National Fuels 3 </w:t>
      <w:tab/>
      <w:t xml:space="preserve">                                           </w:t>
    </w:r>
  </w:p>
  <w:p w:rsidR="00000000" w:rsidDel="00000000" w:rsidP="00000000" w:rsidRDefault="00000000" w:rsidRPr="00000000" w14:paraId="0000029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E">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v3.12</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9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98">
    <w:pPr>
      <w:pBdr>
        <w:top w:space="0" w:sz="0" w:val="nil"/>
        <w:left w:space="0" w:sz="0" w:val="nil"/>
        <w:bottom w:space="0" w:sz="0" w:val="nil"/>
        <w:right w:space="0" w:sz="0" w:val="nil"/>
        <w:between w:space="0" w:sz="0" w:val="nil"/>
      </w:pBdr>
      <w:tabs>
        <w:tab w:val="center" w:leader="none" w:pos="4513"/>
        <w:tab w:val="right" w:leader="none" w:pos="9026"/>
        <w:tab w:val="left" w:leader="none"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2023</w:t>
    </w: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644" w:hanging="357.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7"/>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numPr>
        <w:ilvl w:val="1"/>
        <w:numId w:val="7"/>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pPr>
      <w:spacing w:after="0" w:line="240" w:lineRule="auto"/>
    </w:pPr>
    <w:rPr>
      <w:sz w:val="20"/>
      <w:szCs w:val="20"/>
    </w:rPr>
    <w:tblPr>
      <w:tblStyleRowBandSize w:val="1"/>
      <w:tblStyleColBandSize w:val="1"/>
    </w:tblPr>
  </w:style>
  <w:style w:type="table" w:styleId="a2"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3"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4" w:customStyle="1">
    <w:basedOn w:val="TableNormal"/>
    <w:pPr>
      <w:spacing w:after="0" w:line="240" w:lineRule="auto"/>
    </w:pPr>
    <w:rPr>
      <w:sz w:val="20"/>
      <w:szCs w:val="20"/>
    </w:rPr>
    <w:tblPr>
      <w:tblStyleRowBandSize w:val="1"/>
      <w:tblStyleColBandSize w:val="1"/>
      <w:tblCellMar>
        <w:left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knRIWbcQCUsCVwXAI8HaybPWA==">CgMxLjAyCWlkLmdqZGd4czIJaC4zMGowemxsMgloLjFmb2I5dGUyCWguM3pueXNoNzIIaC5namRneHM4AGpLCjVzdWdnZXN0SWRJbXBvcnQzNzZlMDk3Yi1lY2RjLTRhOWMtYmM1YS03MTBmZGQ3MGNkZTBfMRISVmljdG9yaWEgSXJlbW9uZ2VyciExaV9OM3ZCc2tzZVd1R3F2dUNlRlA2MHNJekJoWFdfUWQ=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2023-01-29T23:28:00Z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y fmtid="{D5CDD505-2E9C-101B-9397-08002B2CF9AE}" pid="3" name="gCurrentVersion">
    <vt:lpwstr>17 November 2017 D1V9</vt:lpwstr>
  </property>
</Properties>
</file>